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25" w:rsidRPr="004F7BFA" w:rsidRDefault="00233125" w:rsidP="00233125">
      <w:pPr>
        <w:pStyle w:val="Default"/>
        <w:ind w:left="480" w:hanging="480"/>
        <w:jc w:val="center"/>
        <w:rPr>
          <w:rFonts w:ascii="標楷體" w:eastAsia="標楷體" w:hAnsi="標楷體"/>
          <w:sz w:val="36"/>
          <w:szCs w:val="36"/>
        </w:rPr>
      </w:pPr>
      <w:r w:rsidRPr="004F7BFA">
        <w:rPr>
          <w:rFonts w:ascii="標楷體" w:eastAsia="標楷體" w:hAnsi="標楷體" w:hint="eastAsia"/>
          <w:sz w:val="36"/>
          <w:szCs w:val="36"/>
        </w:rPr>
        <w:t>元培</w:t>
      </w:r>
      <w:r>
        <w:rPr>
          <w:rFonts w:ascii="標楷體" w:eastAsia="標楷體" w:hAnsi="標楷體" w:hint="eastAsia"/>
          <w:sz w:val="36"/>
          <w:szCs w:val="36"/>
        </w:rPr>
        <w:t>醫事</w:t>
      </w:r>
      <w:r w:rsidRPr="004F7BFA">
        <w:rPr>
          <w:rFonts w:ascii="標楷體" w:eastAsia="標楷體" w:hAnsi="標楷體" w:hint="eastAsia"/>
          <w:sz w:val="36"/>
          <w:szCs w:val="36"/>
        </w:rPr>
        <w:t>科技大學接受各界捐款與使用管理辦法</w:t>
      </w:r>
    </w:p>
    <w:p w:rsidR="00233125" w:rsidRDefault="00233125" w:rsidP="00233125">
      <w:pPr>
        <w:pStyle w:val="Default"/>
        <w:ind w:left="62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7502F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37502F">
        <w:rPr>
          <w:rFonts w:ascii="Times New Roman" w:eastAsia="標楷體" w:hAnsi="Times New Roman" w:cs="Times New Roman"/>
          <w:sz w:val="20"/>
          <w:szCs w:val="20"/>
        </w:rPr>
        <w:t>98</w:t>
      </w:r>
      <w:r w:rsidRPr="0037502F">
        <w:rPr>
          <w:rFonts w:ascii="Times New Roman" w:eastAsia="標楷體" w:hAnsi="Times New Roman" w:cs="Times New Roman"/>
          <w:sz w:val="20"/>
          <w:szCs w:val="20"/>
        </w:rPr>
        <w:t>年</w:t>
      </w:r>
      <w:r w:rsidRPr="0037502F">
        <w:rPr>
          <w:rFonts w:ascii="Times New Roman" w:eastAsia="標楷體" w:hAnsi="Times New Roman" w:cs="Times New Roman"/>
          <w:sz w:val="20"/>
          <w:szCs w:val="20"/>
        </w:rPr>
        <w:t>7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月</w:t>
      </w:r>
      <w:r w:rsidRPr="0037502F">
        <w:rPr>
          <w:rFonts w:ascii="Times New Roman" w:eastAsia="標楷體" w:hAnsi="Times New Roman" w:cs="Times New Roman"/>
          <w:sz w:val="20"/>
          <w:szCs w:val="20"/>
        </w:rPr>
        <w:t>7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:rsidR="00233125" w:rsidRDefault="00233125" w:rsidP="00233125">
      <w:pPr>
        <w:pStyle w:val="Default"/>
        <w:tabs>
          <w:tab w:val="left" w:pos="9498"/>
        </w:tabs>
        <w:wordWrap w:val="0"/>
        <w:ind w:leftChars="-237" w:left="1" w:right="-1" w:hangingChars="285" w:hanging="5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7502F">
        <w:rPr>
          <w:rFonts w:ascii="Times New Roman" w:eastAsia="標楷體" w:hAnsi="Times New Roman" w:cs="Times New Roman"/>
          <w:sz w:val="20"/>
          <w:szCs w:val="20"/>
        </w:rPr>
        <w:t>中華民國</w:t>
      </w:r>
      <w:r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37502F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行政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37502F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233125" w:rsidRDefault="00233125" w:rsidP="00233125">
      <w:pPr>
        <w:pStyle w:val="Default"/>
        <w:tabs>
          <w:tab w:val="left" w:pos="9498"/>
        </w:tabs>
        <w:wordWrap w:val="0"/>
        <w:ind w:leftChars="-237" w:left="1" w:right="-1" w:hangingChars="285" w:hanging="5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7502F">
        <w:rPr>
          <w:rFonts w:ascii="Times New Roman" w:eastAsia="標楷體" w:hAnsi="Times New Roman" w:cs="Times New Roman"/>
          <w:sz w:val="20"/>
          <w:szCs w:val="20"/>
        </w:rPr>
        <w:t>中華民國</w:t>
      </w:r>
      <w:r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37502F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13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行政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37502F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233125" w:rsidRDefault="00233125" w:rsidP="00F46182">
      <w:pPr>
        <w:pStyle w:val="Default"/>
        <w:tabs>
          <w:tab w:val="left" w:pos="9498"/>
        </w:tabs>
        <w:wordWrap w:val="0"/>
        <w:ind w:leftChars="-237" w:left="1" w:hangingChars="285" w:hanging="570"/>
        <w:jc w:val="right"/>
        <w:rPr>
          <w:rFonts w:ascii="標楷體" w:eastAsia="標楷體" w:hAnsi="標楷體"/>
          <w:sz w:val="20"/>
        </w:rPr>
      </w:pPr>
      <w:r w:rsidRPr="0037502F">
        <w:rPr>
          <w:rFonts w:ascii="Times New Roman" w:eastAsia="標楷體" w:hAnsi="Times New Roman" w:cs="Times New Roman"/>
          <w:sz w:val="20"/>
          <w:szCs w:val="20"/>
        </w:rPr>
        <w:t>中華民國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 w:rsidRPr="0037502F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月</w:t>
      </w:r>
      <w:r w:rsidR="00F46182">
        <w:rPr>
          <w:rFonts w:ascii="Times New Roman" w:eastAsia="標楷體" w:hAnsi="Times New Roman" w:cs="Times New Roman" w:hint="eastAsia"/>
          <w:sz w:val="20"/>
          <w:szCs w:val="20"/>
        </w:rPr>
        <w:t>18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 w:rsidR="00F46182">
        <w:rPr>
          <w:rFonts w:ascii="Times New Roman" w:eastAsia="標楷體" w:hAnsi="Times New Roman" w:cs="Times New Roman" w:hint="eastAsia"/>
          <w:sz w:val="20"/>
          <w:szCs w:val="20"/>
        </w:rPr>
        <w:t>行政</w:t>
      </w:r>
      <w:r w:rsidR="00F46182" w:rsidRPr="0037502F">
        <w:rPr>
          <w:rFonts w:ascii="Times New Roman" w:eastAsia="標楷體" w:hAnsi="Times New Roman" w:cs="Times New Roman"/>
          <w:sz w:val="20"/>
          <w:szCs w:val="20"/>
        </w:rPr>
        <w:t>會議</w:t>
      </w:r>
      <w:r w:rsidR="00F46182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F46182" w:rsidRPr="0037502F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556591" w:rsidRDefault="00556591" w:rsidP="00556591">
      <w:pPr>
        <w:pStyle w:val="Default"/>
        <w:tabs>
          <w:tab w:val="left" w:pos="9498"/>
        </w:tabs>
        <w:wordWrap w:val="0"/>
        <w:ind w:leftChars="-237" w:left="1" w:hangingChars="285" w:hanging="570"/>
        <w:jc w:val="right"/>
        <w:rPr>
          <w:rFonts w:ascii="標楷體" w:eastAsia="標楷體" w:hAnsi="標楷體"/>
          <w:sz w:val="20"/>
        </w:rPr>
      </w:pPr>
      <w:r w:rsidRPr="0037502F">
        <w:rPr>
          <w:rFonts w:ascii="Times New Roman" w:eastAsia="標楷體" w:hAnsi="Times New Roman" w:cs="Times New Roman"/>
          <w:sz w:val="20"/>
          <w:szCs w:val="20"/>
        </w:rPr>
        <w:t>中華民國</w:t>
      </w:r>
      <w:r w:rsidR="005D38CC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5D38CC">
        <w:rPr>
          <w:rFonts w:ascii="Times New Roman" w:eastAsia="標楷體" w:hAnsi="Times New Roman" w:cs="Times New Roman"/>
          <w:sz w:val="20"/>
          <w:szCs w:val="20"/>
        </w:rPr>
        <w:t>8</w:t>
      </w:r>
      <w:r w:rsidRPr="0037502F">
        <w:rPr>
          <w:rFonts w:ascii="Times New Roman" w:eastAsia="標楷體" w:hAnsi="Times New Roman" w:cs="Times New Roman"/>
          <w:sz w:val="20"/>
          <w:szCs w:val="20"/>
        </w:rPr>
        <w:t>年</w:t>
      </w:r>
      <w:r w:rsidR="005D38CC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月</w:t>
      </w:r>
      <w:r w:rsidR="005D38CC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行政</w:t>
      </w:r>
      <w:r w:rsidRPr="0037502F">
        <w:rPr>
          <w:rFonts w:ascii="Times New Roman" w:eastAsia="標楷體" w:hAnsi="Times New Roman" w:cs="Times New Roman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37502F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233125" w:rsidRPr="00556591" w:rsidRDefault="00233125" w:rsidP="00233125">
      <w:pPr>
        <w:pStyle w:val="Default"/>
        <w:tabs>
          <w:tab w:val="left" w:pos="9498"/>
        </w:tabs>
        <w:ind w:leftChars="-237" w:left="1" w:right="-1" w:hangingChars="285" w:hanging="57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元培</w:t>
      </w:r>
      <w:r w:rsidR="00233125">
        <w:rPr>
          <w:rFonts w:ascii="標楷體" w:eastAsia="標楷體" w:hAnsi="標楷體" w:hint="eastAsia"/>
          <w:sz w:val="28"/>
          <w:szCs w:val="28"/>
        </w:rPr>
        <w:t>醫事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科技大學</w:t>
      </w:r>
      <w:r w:rsidR="00233125" w:rsidRPr="004F7BFA">
        <w:rPr>
          <w:rFonts w:ascii="標楷體" w:eastAsia="標楷體" w:hAnsi="標楷體"/>
          <w:sz w:val="28"/>
          <w:szCs w:val="28"/>
        </w:rPr>
        <w:t>(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以下簡稱本校</w:t>
      </w:r>
      <w:r w:rsidR="00233125" w:rsidRPr="004F7BFA">
        <w:rPr>
          <w:rFonts w:ascii="標楷體" w:eastAsia="標楷體" w:hAnsi="標楷體"/>
          <w:sz w:val="28"/>
          <w:szCs w:val="28"/>
        </w:rPr>
        <w:t>)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為妥善運用各界捐款，以符合捐款人</w:t>
      </w:r>
    </w:p>
    <w:p w:rsidR="00233125" w:rsidRDefault="00233125" w:rsidP="0023312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 w:rsidRPr="004F7BFA">
        <w:rPr>
          <w:rFonts w:ascii="標楷體" w:eastAsia="標楷體" w:hAnsi="標楷體" w:hint="eastAsia"/>
          <w:sz w:val="28"/>
          <w:szCs w:val="28"/>
        </w:rPr>
        <w:t>之美意，特訂定「元培</w:t>
      </w:r>
      <w:r>
        <w:rPr>
          <w:rFonts w:ascii="標楷體" w:eastAsia="標楷體" w:hAnsi="標楷體" w:hint="eastAsia"/>
          <w:sz w:val="28"/>
          <w:szCs w:val="28"/>
        </w:rPr>
        <w:t>醫事</w:t>
      </w:r>
      <w:r w:rsidRPr="004F7BFA">
        <w:rPr>
          <w:rFonts w:ascii="標楷體" w:eastAsia="標楷體" w:hAnsi="標楷體" w:hint="eastAsia"/>
          <w:sz w:val="28"/>
          <w:szCs w:val="28"/>
        </w:rPr>
        <w:t>科技大學接受各界捐款與使用管理辦法」</w:t>
      </w:r>
      <w:r w:rsidRPr="0037502F">
        <w:rPr>
          <w:rFonts w:ascii="標楷體" w:eastAsia="標楷體" w:hAnsi="標楷體"/>
          <w:sz w:val="28"/>
          <w:szCs w:val="28"/>
        </w:rPr>
        <w:t>(</w:t>
      </w:r>
      <w:r w:rsidRPr="004F7BFA">
        <w:rPr>
          <w:rFonts w:ascii="標楷體" w:eastAsia="標楷體" w:hAnsi="標楷體" w:hint="eastAsia"/>
          <w:sz w:val="28"/>
          <w:szCs w:val="28"/>
        </w:rPr>
        <w:t>以</w:t>
      </w:r>
    </w:p>
    <w:p w:rsidR="00233125" w:rsidRDefault="00233125" w:rsidP="0023312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 w:rsidRPr="004F7BFA">
        <w:rPr>
          <w:rFonts w:ascii="標楷體" w:eastAsia="標楷體" w:hAnsi="標楷體" w:hint="eastAsia"/>
          <w:sz w:val="28"/>
          <w:szCs w:val="28"/>
        </w:rPr>
        <w:t>下簡稱本辦法</w:t>
      </w:r>
      <w:r w:rsidRPr="0037502F">
        <w:rPr>
          <w:rFonts w:ascii="標楷體" w:eastAsia="標楷體" w:hAnsi="標楷體"/>
          <w:sz w:val="28"/>
          <w:szCs w:val="28"/>
        </w:rPr>
        <w:t>)</w:t>
      </w:r>
      <w:r w:rsidRPr="004F7BFA">
        <w:rPr>
          <w:rFonts w:ascii="標楷體" w:eastAsia="標楷體" w:hAnsi="標楷體" w:hint="eastAsia"/>
          <w:sz w:val="28"/>
          <w:szCs w:val="28"/>
        </w:rPr>
        <w:t>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37502F">
        <w:rPr>
          <w:rFonts w:ascii="標楷體" w:eastAsia="標楷體" w:hAnsi="標楷體" w:hint="eastAsia"/>
          <w:sz w:val="28"/>
          <w:szCs w:val="28"/>
        </w:rPr>
        <w:t>各界捐款途徑可分為：</w:t>
      </w:r>
    </w:p>
    <w:p w:rsidR="00233125" w:rsidRDefault="00233125" w:rsidP="0023312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87393">
        <w:rPr>
          <w:rFonts w:ascii="標楷體" w:eastAsia="標楷體" w:hAnsi="標楷體" w:hint="eastAsia"/>
          <w:sz w:val="28"/>
          <w:szCs w:val="28"/>
        </w:rPr>
        <w:t>直接捐給本校。</w:t>
      </w:r>
    </w:p>
    <w:p w:rsidR="00233125" w:rsidRPr="00B87393" w:rsidRDefault="001C0955" w:rsidP="001C095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B87393">
        <w:rPr>
          <w:rFonts w:ascii="標楷體" w:eastAsia="標楷體" w:hAnsi="標楷體" w:hint="eastAsia"/>
          <w:sz w:val="28"/>
          <w:szCs w:val="28"/>
        </w:rPr>
        <w:t>透過「財團法人私立學校興學基金會」，指定捐給本校。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37502F">
        <w:rPr>
          <w:rFonts w:ascii="標楷體" w:eastAsia="標楷體" w:hAnsi="標楷體" w:hint="eastAsia"/>
          <w:sz w:val="28"/>
          <w:szCs w:val="28"/>
        </w:rPr>
        <w:t>各界捐款區分為二類：</w:t>
      </w:r>
    </w:p>
    <w:p w:rsidR="00233125" w:rsidRDefault="00233125" w:rsidP="001C095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F7BFA">
        <w:rPr>
          <w:rFonts w:ascii="標楷體" w:eastAsia="標楷體" w:hAnsi="標楷體" w:hint="eastAsia"/>
          <w:sz w:val="28"/>
          <w:szCs w:val="28"/>
        </w:rPr>
        <w:t>指定使用單位或用途之捐款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33125" w:rsidRDefault="00233125" w:rsidP="001C095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F7BFA">
        <w:rPr>
          <w:rFonts w:ascii="標楷體" w:eastAsia="標楷體" w:hAnsi="標楷體" w:hint="eastAsia"/>
          <w:sz w:val="28"/>
          <w:szCs w:val="28"/>
        </w:rPr>
        <w:t>未指定使用單位或用途之捐款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0955" w:rsidRDefault="00233125" w:rsidP="001C0955">
      <w:pPr>
        <w:pStyle w:val="Default"/>
        <w:ind w:left="990"/>
        <w:jc w:val="both"/>
        <w:rPr>
          <w:rFonts w:eastAsia="標楷體"/>
          <w:sz w:val="28"/>
          <w:szCs w:val="28"/>
          <w:u w:val="single"/>
        </w:rPr>
      </w:pPr>
      <w:r w:rsidRPr="00B30827">
        <w:rPr>
          <w:rFonts w:ascii="標楷體" w:eastAsia="標楷體" w:hAnsi="標楷體" w:hint="eastAsia"/>
          <w:sz w:val="28"/>
          <w:szCs w:val="28"/>
        </w:rPr>
        <w:t>前項所稱指定用途</w:t>
      </w:r>
      <w:r w:rsidR="00A013C3" w:rsidRPr="008A5FB2">
        <w:rPr>
          <w:rFonts w:ascii="標楷體" w:eastAsia="標楷體" w:hAnsi="標楷體" w:hint="eastAsia"/>
          <w:sz w:val="28"/>
          <w:szCs w:val="28"/>
          <w:u w:val="single"/>
        </w:rPr>
        <w:t>應與本校校務有關</w:t>
      </w:r>
      <w:r w:rsidR="00A013C3">
        <w:rPr>
          <w:rFonts w:ascii="標楷體" w:eastAsia="標楷體" w:hAnsi="標楷體" w:hint="eastAsia"/>
          <w:sz w:val="28"/>
          <w:szCs w:val="28"/>
        </w:rPr>
        <w:t>，</w:t>
      </w:r>
      <w:r w:rsidR="00A013C3" w:rsidRPr="007A20C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除學生事務相關活動</w:t>
      </w:r>
      <w:r w:rsidR="00556591" w:rsidRPr="0055659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(</w:t>
      </w:r>
      <w:r w:rsidR="00556591" w:rsidRPr="00556591">
        <w:rPr>
          <w:rFonts w:ascii="標楷體" w:eastAsia="標楷體" w:hAnsi="標楷體" w:hint="eastAsia"/>
          <w:sz w:val="28"/>
          <w:szCs w:val="28"/>
          <w:u w:val="single"/>
        </w:rPr>
        <w:t>如</w:t>
      </w:r>
      <w:r w:rsidR="00556591" w:rsidRPr="00556591">
        <w:rPr>
          <w:rFonts w:ascii="細明體" w:eastAsia="細明體" w:hAnsi="細明體" w:hint="eastAsia"/>
          <w:sz w:val="28"/>
          <w:szCs w:val="28"/>
          <w:u w:val="single"/>
          <w:lang w:eastAsia="zh-HK"/>
        </w:rPr>
        <w:t>：</w:t>
      </w:r>
      <w:r w:rsidR="00556591" w:rsidRPr="00556591">
        <w:rPr>
          <w:rFonts w:ascii="標楷體" w:eastAsia="標楷體" w:hAnsi="標楷體" w:hint="eastAsia"/>
          <w:sz w:val="28"/>
          <w:szCs w:val="28"/>
          <w:u w:val="single"/>
        </w:rPr>
        <w:t>弱勢助學</w:t>
      </w:r>
      <w:r w:rsidR="00556591" w:rsidRPr="00556591">
        <w:rPr>
          <w:rFonts w:ascii="細明體" w:eastAsia="細明體" w:hAnsi="細明體" w:hint="eastAsia"/>
          <w:sz w:val="28"/>
          <w:szCs w:val="28"/>
          <w:u w:val="single"/>
          <w:lang w:eastAsia="zh-HK"/>
        </w:rPr>
        <w:t>、</w:t>
      </w:r>
      <w:r w:rsidR="00556591" w:rsidRPr="00556591">
        <w:rPr>
          <w:rFonts w:ascii="標楷體" w:eastAsia="標楷體" w:hAnsi="標楷體" w:hint="eastAsia"/>
          <w:sz w:val="28"/>
          <w:szCs w:val="28"/>
          <w:u w:val="single"/>
        </w:rPr>
        <w:t>獎助學生於學業或研究有傑出表現者</w:t>
      </w:r>
      <w:r w:rsidR="005D38CC">
        <w:rPr>
          <w:rFonts w:ascii="標楷體" w:eastAsia="標楷體" w:hAnsi="標楷體" w:hint="eastAsia"/>
          <w:sz w:val="28"/>
          <w:szCs w:val="28"/>
          <w:u w:val="single"/>
        </w:rPr>
        <w:t>等</w:t>
      </w:r>
      <w:bookmarkStart w:id="0" w:name="_GoBack"/>
      <w:bookmarkEnd w:id="0"/>
      <w:r w:rsidR="00556591" w:rsidRPr="0055659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)</w:t>
      </w:r>
      <w:r w:rsidR="00A013C3" w:rsidRPr="0055659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之捐款收入不提列至校務</w:t>
      </w:r>
      <w:r w:rsidR="00A013C3" w:rsidRPr="007A20C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使用外，其餘</w:t>
      </w:r>
      <w:r w:rsidR="00A013C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捐款收入</w:t>
      </w:r>
      <w:r w:rsidR="00A013C3" w:rsidRPr="007A20C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應</w:t>
      </w:r>
      <w:r w:rsidR="00A013C3" w:rsidRPr="001C0955">
        <w:rPr>
          <w:rFonts w:eastAsia="標楷體" w:hint="eastAsia"/>
          <w:sz w:val="28"/>
          <w:szCs w:val="28"/>
          <w:u w:val="single"/>
        </w:rPr>
        <w:t>提列至少</w:t>
      </w:r>
      <w:r w:rsidR="00A013C3" w:rsidRPr="001C0955">
        <w:rPr>
          <w:rFonts w:eastAsia="標楷體"/>
          <w:sz w:val="28"/>
          <w:szCs w:val="28"/>
          <w:u w:val="single"/>
        </w:rPr>
        <w:t>10%</w:t>
      </w:r>
      <w:r w:rsidR="00A013C3" w:rsidRPr="001C0955">
        <w:rPr>
          <w:rFonts w:eastAsia="標楷體" w:hint="eastAsia"/>
          <w:sz w:val="28"/>
          <w:szCs w:val="28"/>
          <w:u w:val="single"/>
        </w:rPr>
        <w:t>捐入校務使用</w:t>
      </w:r>
      <w:r w:rsidR="00A013C3" w:rsidRPr="001C0955">
        <w:rPr>
          <w:rFonts w:eastAsia="標楷體" w:hint="eastAsia"/>
          <w:sz w:val="28"/>
          <w:szCs w:val="28"/>
          <w:u w:val="single"/>
          <w:lang w:eastAsia="zh-HK"/>
        </w:rPr>
        <w:t>；凡</w:t>
      </w:r>
      <w:r w:rsidR="00A013C3" w:rsidRPr="001C0955">
        <w:rPr>
          <w:rFonts w:eastAsia="標楷體" w:hint="eastAsia"/>
          <w:sz w:val="28"/>
          <w:szCs w:val="28"/>
          <w:u w:val="single"/>
        </w:rPr>
        <w:t>捐入校務使用之經費</w:t>
      </w:r>
      <w:r w:rsidR="00A013C3" w:rsidRPr="001C0955">
        <w:rPr>
          <w:rFonts w:eastAsia="標楷體" w:hint="eastAsia"/>
          <w:sz w:val="28"/>
          <w:szCs w:val="28"/>
          <w:u w:val="single"/>
          <w:lang w:eastAsia="zh-HK"/>
        </w:rPr>
        <w:t>，</w:t>
      </w:r>
      <w:r w:rsidR="00A013C3" w:rsidRPr="001C0955">
        <w:rPr>
          <w:rFonts w:eastAsia="標楷體" w:hint="eastAsia"/>
          <w:sz w:val="28"/>
          <w:szCs w:val="28"/>
          <w:u w:val="single"/>
        </w:rPr>
        <w:t>由</w:t>
      </w:r>
      <w:r w:rsidR="00A013C3" w:rsidRPr="001C0955">
        <w:rPr>
          <w:rFonts w:eastAsia="標楷體" w:hint="eastAsia"/>
          <w:sz w:val="28"/>
          <w:szCs w:val="28"/>
          <w:u w:val="single"/>
          <w:lang w:eastAsia="zh-HK"/>
        </w:rPr>
        <w:t>本</w:t>
      </w:r>
      <w:r w:rsidR="00A013C3" w:rsidRPr="001C0955">
        <w:rPr>
          <w:rFonts w:eastAsia="標楷體" w:hint="eastAsia"/>
          <w:sz w:val="28"/>
          <w:szCs w:val="28"/>
          <w:u w:val="single"/>
        </w:rPr>
        <w:t>校統籌運用。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37502F">
        <w:rPr>
          <w:rFonts w:ascii="標楷體" w:eastAsia="標楷體" w:hAnsi="標楷體" w:hint="eastAsia"/>
          <w:sz w:val="28"/>
          <w:szCs w:val="28"/>
        </w:rPr>
        <w:t>各界之捐款由本校掣據統收後存入本校募款專戶，依捐款類別作以下處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7502F">
        <w:rPr>
          <w:rFonts w:ascii="標楷體" w:eastAsia="標楷體" w:hAnsi="標楷體" w:hint="eastAsia"/>
          <w:sz w:val="28"/>
          <w:szCs w:val="28"/>
        </w:rPr>
        <w:t>理：</w:t>
      </w:r>
    </w:p>
    <w:p w:rsidR="00233125" w:rsidRDefault="001C0955" w:rsidP="001C095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捐款指定使用單位或用途者，依捐款人之意願執行之</w:t>
      </w:r>
      <w:r w:rsidR="00233125">
        <w:rPr>
          <w:rFonts w:ascii="標楷體" w:eastAsia="標楷體" w:hAnsi="標楷體" w:hint="eastAsia"/>
          <w:sz w:val="28"/>
          <w:szCs w:val="28"/>
        </w:rPr>
        <w:t>。</w:t>
      </w:r>
    </w:p>
    <w:p w:rsidR="00233125" w:rsidRDefault="001C0955" w:rsidP="001C0955">
      <w:pPr>
        <w:pStyle w:val="Defaul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二、</w:t>
      </w:r>
      <w:r w:rsidR="00233125" w:rsidRPr="004F7BFA">
        <w:rPr>
          <w:rFonts w:ascii="標楷體" w:eastAsia="標楷體" w:hAnsi="標楷體" w:hint="eastAsia"/>
          <w:sz w:val="28"/>
          <w:szCs w:val="28"/>
        </w:rPr>
        <w:t>捐款未指定使用單位及用途者，由本校統籌運用。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901AEE">
        <w:rPr>
          <w:rFonts w:ascii="標楷體" w:eastAsia="標楷體" w:hAnsi="標楷體" w:hint="eastAsia"/>
          <w:sz w:val="28"/>
          <w:szCs w:val="28"/>
        </w:rPr>
        <w:t>指定用途捐款經費支用情形及執行成果應於計畫完成或學年度結束</w:t>
      </w:r>
    </w:p>
    <w:p w:rsidR="00461BC8" w:rsidRDefault="00233125" w:rsidP="002331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01AEE">
        <w:rPr>
          <w:rFonts w:ascii="標楷體" w:eastAsia="標楷體" w:hAnsi="標楷體" w:hint="eastAsia"/>
          <w:sz w:val="28"/>
          <w:szCs w:val="28"/>
        </w:rPr>
        <w:t>後，由執行單位上簽核銷及結案。當年度所受之捐款若未用罄，可</w:t>
      </w:r>
      <w:r w:rsidR="00461BC8">
        <w:rPr>
          <w:rFonts w:ascii="標楷體" w:eastAsia="標楷體" w:hAnsi="標楷體" w:hint="eastAsia"/>
          <w:sz w:val="28"/>
          <w:szCs w:val="28"/>
        </w:rPr>
        <w:t>逐</w:t>
      </w:r>
    </w:p>
    <w:p w:rsidR="00233125" w:rsidRPr="00901AEE" w:rsidRDefault="00461BC8" w:rsidP="002331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年累積</w:t>
      </w:r>
      <w:r w:rsidR="00233125" w:rsidRPr="00901AEE">
        <w:rPr>
          <w:rFonts w:ascii="標楷體" w:eastAsia="標楷體" w:hAnsi="標楷體" w:hint="eastAsia"/>
          <w:sz w:val="28"/>
          <w:szCs w:val="28"/>
        </w:rPr>
        <w:t>至下年度繼續使用。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37502F">
        <w:rPr>
          <w:rFonts w:ascii="標楷體" w:eastAsia="標楷體" w:hAnsi="標楷體" w:hint="eastAsia"/>
          <w:sz w:val="28"/>
          <w:szCs w:val="28"/>
        </w:rPr>
        <w:t>指定使用單位及用途之捐款，如有變更使用單位或用途之必要時，應先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7502F">
        <w:rPr>
          <w:rFonts w:ascii="標楷體" w:eastAsia="標楷體" w:hAnsi="標楷體" w:hint="eastAsia"/>
          <w:sz w:val="28"/>
          <w:szCs w:val="28"/>
        </w:rPr>
        <w:t>徵得捐款人之書面同意。</w:t>
      </w:r>
    </w:p>
    <w:p w:rsidR="00233125" w:rsidRDefault="001C0955" w:rsidP="001C095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 xml:space="preserve">條 </w:t>
      </w:r>
      <w:r w:rsidR="00233125" w:rsidRPr="0037502F">
        <w:rPr>
          <w:rFonts w:ascii="標楷體" w:eastAsia="標楷體" w:hAnsi="標楷體" w:hint="eastAsia"/>
          <w:sz w:val="28"/>
          <w:szCs w:val="28"/>
        </w:rPr>
        <w:t>各單位接受各界有價證券或實物捐贈時，應知會總務處及會計室依本校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7502F">
        <w:rPr>
          <w:rFonts w:ascii="標楷體" w:eastAsia="標楷體" w:hAnsi="標楷體" w:hint="eastAsia"/>
          <w:sz w:val="28"/>
          <w:szCs w:val="28"/>
        </w:rPr>
        <w:t>相關財產管理辦法辦理財產登記保管。捐贈物品如有鑑價必要時，應由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7502F">
        <w:rPr>
          <w:rFonts w:ascii="標楷體" w:eastAsia="標楷體" w:hAnsi="標楷體" w:hint="eastAsia"/>
          <w:sz w:val="28"/>
          <w:szCs w:val="28"/>
        </w:rPr>
        <w:t>捐贈人提出鑑價證明書，並得由總務處聘請相關專業人士確認物品價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7502F">
        <w:rPr>
          <w:rFonts w:ascii="標楷體" w:eastAsia="標楷體" w:hAnsi="標楷體" w:hint="eastAsia"/>
          <w:sz w:val="28"/>
          <w:szCs w:val="28"/>
        </w:rPr>
        <w:t>值。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第八條 </w:t>
      </w:r>
      <w:r w:rsidRPr="0037502F">
        <w:rPr>
          <w:rFonts w:ascii="標楷體" w:eastAsia="標楷體" w:hAnsi="標楷體" w:hint="eastAsia"/>
          <w:sz w:val="28"/>
          <w:szCs w:val="28"/>
        </w:rPr>
        <w:t>各界之捐款定期公告於元培校訊。</w:t>
      </w:r>
    </w:p>
    <w:p w:rsidR="00233125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第九條 </w:t>
      </w:r>
      <w:r w:rsidRPr="0037502F">
        <w:rPr>
          <w:rFonts w:ascii="標楷體" w:eastAsia="標楷體" w:hAnsi="標楷體" w:hint="eastAsia"/>
          <w:sz w:val="28"/>
          <w:szCs w:val="28"/>
        </w:rPr>
        <w:t>捐款使用之核銷程序依本校相關辦法處理。</w:t>
      </w:r>
    </w:p>
    <w:p w:rsidR="00233125" w:rsidRPr="0037502F" w:rsidRDefault="00233125" w:rsidP="00233125">
      <w:pPr>
        <w:pStyle w:val="Defaul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第十條 本辦法經行政會議通過，陳請校長核定後</w:t>
      </w:r>
      <w:r w:rsidRPr="0037502F">
        <w:rPr>
          <w:rFonts w:ascii="標楷體" w:eastAsia="標楷體" w:hAnsi="標楷體" w:hint="eastAsia"/>
          <w:sz w:val="28"/>
          <w:szCs w:val="28"/>
        </w:rPr>
        <w:t>實施，修正時亦同。</w:t>
      </w:r>
      <w:r w:rsidRPr="0037502F">
        <w:rPr>
          <w:rFonts w:hAnsi="標楷體"/>
          <w:sz w:val="28"/>
          <w:szCs w:val="28"/>
        </w:rPr>
        <w:t xml:space="preserve"> </w:t>
      </w:r>
    </w:p>
    <w:p w:rsidR="00233125" w:rsidRDefault="0023312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p w:rsidR="001C0955" w:rsidRDefault="001C0955" w:rsidP="00233125">
      <w:pPr>
        <w:rPr>
          <w:rFonts w:ascii="標楷體" w:eastAsia="標楷體" w:hAnsi="標楷體"/>
        </w:rPr>
      </w:pPr>
    </w:p>
    <w:p w:rsidR="001C0955" w:rsidRDefault="001C0955" w:rsidP="00233125">
      <w:pPr>
        <w:rPr>
          <w:rFonts w:ascii="標楷體" w:eastAsia="標楷體" w:hAnsi="標楷體"/>
        </w:rPr>
      </w:pPr>
    </w:p>
    <w:p w:rsidR="001C0955" w:rsidRDefault="001C0955" w:rsidP="00233125">
      <w:pPr>
        <w:rPr>
          <w:rFonts w:ascii="標楷體" w:eastAsia="標楷體" w:hAnsi="標楷體"/>
        </w:rPr>
      </w:pPr>
    </w:p>
    <w:p w:rsidR="001C0955" w:rsidRDefault="001C0955" w:rsidP="00233125">
      <w:pPr>
        <w:rPr>
          <w:rFonts w:ascii="標楷體" w:eastAsia="標楷體" w:hAnsi="標楷體"/>
        </w:rPr>
      </w:pPr>
    </w:p>
    <w:p w:rsidR="00233125" w:rsidRDefault="00233125" w:rsidP="00233125">
      <w:pPr>
        <w:rPr>
          <w:rFonts w:ascii="標楷體" w:eastAsia="標楷體" w:hAnsi="標楷體"/>
        </w:rPr>
      </w:pPr>
    </w:p>
    <w:sectPr w:rsidR="00233125" w:rsidSect="00F720B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3" w:rsidRDefault="00BD05B3" w:rsidP="008A5FB2">
      <w:r>
        <w:separator/>
      </w:r>
    </w:p>
  </w:endnote>
  <w:endnote w:type="continuationSeparator" w:id="0">
    <w:p w:rsidR="00BD05B3" w:rsidRDefault="00BD05B3" w:rsidP="008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3" w:rsidRDefault="00BD05B3" w:rsidP="008A5FB2">
      <w:r>
        <w:separator/>
      </w:r>
    </w:p>
  </w:footnote>
  <w:footnote w:type="continuationSeparator" w:id="0">
    <w:p w:rsidR="00BD05B3" w:rsidRDefault="00BD05B3" w:rsidP="008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2F0"/>
    <w:multiLevelType w:val="hybridMultilevel"/>
    <w:tmpl w:val="CE2C2D9E"/>
    <w:lvl w:ilvl="0" w:tplc="6D8AE3E2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35E72A35"/>
    <w:multiLevelType w:val="hybridMultilevel"/>
    <w:tmpl w:val="24008004"/>
    <w:lvl w:ilvl="0" w:tplc="5D3AEB1C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8B5245D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F7993"/>
    <w:multiLevelType w:val="hybridMultilevel"/>
    <w:tmpl w:val="FDB842E4"/>
    <w:lvl w:ilvl="0" w:tplc="944CA4D4">
      <w:start w:val="2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5"/>
    <w:rsid w:val="000C7FB9"/>
    <w:rsid w:val="00191935"/>
    <w:rsid w:val="001C0955"/>
    <w:rsid w:val="001E3581"/>
    <w:rsid w:val="001F2B7B"/>
    <w:rsid w:val="00233125"/>
    <w:rsid w:val="003E0A2B"/>
    <w:rsid w:val="00461BC8"/>
    <w:rsid w:val="00512264"/>
    <w:rsid w:val="00556591"/>
    <w:rsid w:val="005D38CC"/>
    <w:rsid w:val="006779C7"/>
    <w:rsid w:val="006E46B8"/>
    <w:rsid w:val="007A20C6"/>
    <w:rsid w:val="00873C3D"/>
    <w:rsid w:val="008A5FB2"/>
    <w:rsid w:val="008F242F"/>
    <w:rsid w:val="00A013C3"/>
    <w:rsid w:val="00B67791"/>
    <w:rsid w:val="00B71713"/>
    <w:rsid w:val="00BD05B3"/>
    <w:rsid w:val="00C958F2"/>
    <w:rsid w:val="00D31BE0"/>
    <w:rsid w:val="00E34425"/>
    <w:rsid w:val="00EE08EA"/>
    <w:rsid w:val="00F0319C"/>
    <w:rsid w:val="00F46182"/>
    <w:rsid w:val="00F720BE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FA01C"/>
  <w15:chartTrackingRefBased/>
  <w15:docId w15:val="{7E3DC2BA-DF84-4DD4-963B-CA477B3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125"/>
    <w:pPr>
      <w:widowControl w:val="0"/>
      <w:autoSpaceDE w:val="0"/>
      <w:autoSpaceDN w:val="0"/>
      <w:adjustRightInd w:val="0"/>
    </w:pPr>
    <w:rPr>
      <w:rFonts w:ascii="...6." w:eastAsia="...6." w:hAnsi="Calibri" w:cs="...6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A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F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F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6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ya-hui lin</dc:creator>
  <cp:keywords/>
  <dc:description/>
  <cp:lastModifiedBy>ya-hui lin</cp:lastModifiedBy>
  <cp:revision>3</cp:revision>
  <cp:lastPrinted>2019-12-05T04:24:00Z</cp:lastPrinted>
  <dcterms:created xsi:type="dcterms:W3CDTF">2019-12-05T04:50:00Z</dcterms:created>
  <dcterms:modified xsi:type="dcterms:W3CDTF">2019-12-31T03:11:00Z</dcterms:modified>
</cp:coreProperties>
</file>